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BF6" w:rsidRDefault="0053475D" w:rsidP="00B91C46">
      <w:pPr>
        <w:pStyle w:val="Ttulo"/>
        <w:rPr>
          <w:lang w:val="es-ES_tradnl"/>
        </w:rPr>
      </w:pPr>
      <w:r>
        <w:rPr>
          <w:lang w:val="es-ES_tradnl"/>
        </w:rPr>
        <w:t>Análisis de Sensibilidad</w:t>
      </w:r>
    </w:p>
    <w:p w:rsidR="00374B41" w:rsidRDefault="00374B41">
      <w:pPr>
        <w:rPr>
          <w:lang w:val="es-ES_tradnl"/>
        </w:rPr>
      </w:pPr>
    </w:p>
    <w:p w:rsidR="00374B41" w:rsidRPr="00B91C46" w:rsidRDefault="00BC5F63" w:rsidP="00B91C46">
      <w:pPr>
        <w:jc w:val="both"/>
      </w:pPr>
      <w:r>
        <w:rPr>
          <w:lang w:val="es-ES_tradnl"/>
        </w:rPr>
        <w:t>En este análisis se toma en cuenta solo el ahorro de l</w:t>
      </w:r>
      <w:r>
        <w:t xml:space="preserve">a población rural estimada </w:t>
      </w:r>
      <w:r>
        <w:t xml:space="preserve">en el censo de 2020 </w:t>
      </w:r>
      <w:r w:rsidR="00BA76DA">
        <w:t xml:space="preserve">que </w:t>
      </w:r>
      <w:r>
        <w:t xml:space="preserve">es de 240,984 personas de las cuales se </w:t>
      </w:r>
      <w:r>
        <w:t>calcula</w:t>
      </w:r>
      <w:r>
        <w:t xml:space="preserve"> esta trabajando el 44,29% que son cerca de 106,732 personas que perciben en promedio 5</w:t>
      </w:r>
      <w:r>
        <w:t>,</w:t>
      </w:r>
      <w:r>
        <w:t xml:space="preserve">000 pesos al mes de salario del cual gastan cerca del 10% o sea 500 pesos al mes </w:t>
      </w:r>
      <w:r w:rsidR="00BA76DA">
        <w:t xml:space="preserve">en conectividad, </w:t>
      </w:r>
      <w:r>
        <w:t>que multiplicado por el porcentaje de usuarios de telefonía m</w:t>
      </w:r>
      <w:r>
        <w:t>ó</w:t>
      </w:r>
      <w:r>
        <w:t>vil que es el 79% de la población ocupada nos daría $465,</w:t>
      </w:r>
      <w:r>
        <w:t>434</w:t>
      </w:r>
      <w:r>
        <w:t>,</w:t>
      </w:r>
      <w:r>
        <w:t>8</w:t>
      </w:r>
      <w:r>
        <w:t>20.00 pesos de gasto anual por tener internet de media hora al día.</w:t>
      </w:r>
    </w:p>
    <w:p w:rsidR="00BA76DA" w:rsidRDefault="00BA76DA" w:rsidP="00B91C46">
      <w:pPr>
        <w:pStyle w:val="Ttulo1"/>
        <w:rPr>
          <w:lang w:val="es-ES_tradnl"/>
        </w:rPr>
      </w:pPr>
      <w:r>
        <w:rPr>
          <w:lang w:val="es-ES_tradnl"/>
        </w:rPr>
        <w:t>Índices de Rentabilidad</w:t>
      </w:r>
    </w:p>
    <w:p w:rsidR="00B91C46" w:rsidRDefault="00B91C46" w:rsidP="00B91C46">
      <w:pPr>
        <w:pStyle w:val="Ttulo2"/>
        <w:rPr>
          <w:lang w:val="es-ES_tradnl"/>
        </w:rPr>
      </w:pPr>
    </w:p>
    <w:p w:rsidR="00B91C46" w:rsidRDefault="00B91C46" w:rsidP="00B91C46">
      <w:pPr>
        <w:pStyle w:val="Ttulo2"/>
        <w:rPr>
          <w:lang w:val="es-ES_tradnl"/>
        </w:rPr>
      </w:pPr>
      <w:r>
        <w:rPr>
          <w:lang w:val="es-ES_tradnl"/>
        </w:rPr>
        <w:t>Variable de inversión</w:t>
      </w:r>
    </w:p>
    <w:p w:rsidR="00B91C46" w:rsidRDefault="00B91C46" w:rsidP="00B91C46">
      <w:pPr>
        <w:pStyle w:val="Ttulo3"/>
        <w:rPr>
          <w:lang w:val="es-ES_tradnl"/>
        </w:rPr>
      </w:pPr>
    </w:p>
    <w:p w:rsidR="00BA76DA" w:rsidRDefault="00BA76DA" w:rsidP="00B91C46">
      <w:pPr>
        <w:pStyle w:val="Ttulo3"/>
        <w:rPr>
          <w:lang w:val="es-ES_tradnl"/>
        </w:rPr>
      </w:pPr>
      <w:r>
        <w:rPr>
          <w:lang w:val="es-ES_tradnl"/>
        </w:rPr>
        <w:t>Inversión real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RANGE!A1:E19"/>
            <w:r w:rsidRPr="00BA76D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Costo Proyecto</w:t>
            </w:r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$    410,000,000.00 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410,000,000.00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$ 278,454,000.00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278,454,000.00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267,744,230.77 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391,100,980.03 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376,058,634.64 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361,594,841.00 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4,000,000.00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461,434,820.00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379,265,786.56 </w:t>
            </w: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$ 1,240,276,011.47 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830,276,011.47 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BA76D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3.03 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A76DA" w:rsidRDefault="00BA76DA">
      <w:pPr>
        <w:rPr>
          <w:lang w:val="es-ES_tradnl"/>
        </w:rPr>
      </w:pPr>
    </w:p>
    <w:p w:rsidR="00374B41" w:rsidRDefault="00BA76DA" w:rsidP="00B91C46">
      <w:pPr>
        <w:pStyle w:val="Ttulo3"/>
        <w:rPr>
          <w:lang w:val="es-ES_tradnl"/>
        </w:rPr>
      </w:pPr>
      <w:r>
        <w:rPr>
          <w:lang w:val="es-ES_tradnl"/>
        </w:rPr>
        <w:t>Inversión de -10%</w:t>
      </w:r>
    </w:p>
    <w:p w:rsidR="00BA76DA" w:rsidRDefault="00BA76DA" w:rsidP="00C74B75">
      <w:pPr>
        <w:jc w:val="both"/>
        <w:rPr>
          <w:lang w:val="es-ES_tradnl"/>
        </w:rPr>
      </w:pPr>
      <w:r>
        <w:rPr>
          <w:lang w:val="es-ES_tradnl"/>
        </w:rPr>
        <w:t xml:space="preserve">Con una inversión menor en 10% aumentan todos los </w:t>
      </w:r>
      <w:r w:rsidR="00C74B75">
        <w:rPr>
          <w:lang w:val="es-ES_tradnl"/>
        </w:rPr>
        <w:t>indicadores,</w:t>
      </w:r>
      <w:r>
        <w:rPr>
          <w:lang w:val="es-ES_tradnl"/>
        </w:rPr>
        <w:t xml:space="preserve"> pero disminuye la calidad, dado que habría que reducir la cantidad de puntos de acceso </w:t>
      </w:r>
      <w:r w:rsidR="00C74B75">
        <w:rPr>
          <w:lang w:val="es-ES_tradnl"/>
        </w:rPr>
        <w:t>en los planteles preescolares porque son la instalación que tiene menos usuarios conectados.</w:t>
      </w:r>
    </w:p>
    <w:p w:rsidR="00BA76DA" w:rsidRDefault="00BA76DA">
      <w:pPr>
        <w:rPr>
          <w:lang w:val="es-ES_tradnl"/>
        </w:rPr>
      </w:pPr>
    </w:p>
    <w:p w:rsidR="00BA76DA" w:rsidRDefault="00BA76DA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BA76DA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$    369,000,000.00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C74B7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</w:t>
            </w:r>
            <w:r w:rsidR="007E20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369,000,000.00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$ 250,608,600.00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250,608,600.00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240,969,807.69 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38,178,000.00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427,256,820.00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395,022,947.49 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38,178,000.00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427,256,820.00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379,829,757.20 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38,178,000.00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427,256,820.00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365,220,920.38 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3,600,000.00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461,834,820.00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379,594,557.40 </w:t>
            </w:r>
          </w:p>
        </w:tc>
      </w:tr>
      <w:tr w:rsidR="00C74B75" w:rsidRPr="00BA76DA" w:rsidTr="00C74B7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C74B75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A76DA" w:rsidRPr="00BA76DA" w:rsidRDefault="00BA76DA" w:rsidP="00BA76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76DA" w:rsidRPr="00BA76DA" w:rsidTr="00C74B7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BA76DA" w:rsidRPr="00BA76DA" w:rsidRDefault="00BA76DA" w:rsidP="00BA76DA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$ 1,278,698,374.78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909,698,374.78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A76DA" w:rsidTr="00C74B7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3.47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74B75" w:rsidRDefault="00C74B75" w:rsidP="00C74B75">
      <w:pPr>
        <w:rPr>
          <w:lang w:val="es-ES_tradnl"/>
        </w:rPr>
      </w:pPr>
    </w:p>
    <w:p w:rsidR="00C74B75" w:rsidRDefault="00C74B75" w:rsidP="00B91C46">
      <w:pPr>
        <w:pStyle w:val="Ttulo3"/>
        <w:rPr>
          <w:lang w:val="es-ES_tradnl"/>
        </w:rPr>
      </w:pPr>
      <w:r>
        <w:rPr>
          <w:lang w:val="es-ES_tradnl"/>
        </w:rPr>
        <w:t>Inversión de -</w:t>
      </w:r>
      <w:r>
        <w:rPr>
          <w:lang w:val="es-ES_tradnl"/>
        </w:rPr>
        <w:t>2</w:t>
      </w:r>
      <w:r>
        <w:rPr>
          <w:lang w:val="es-ES_tradnl"/>
        </w:rPr>
        <w:t>0%</w:t>
      </w:r>
    </w:p>
    <w:p w:rsidR="00C74B75" w:rsidRDefault="00C74B75" w:rsidP="00C74B75">
      <w:pPr>
        <w:jc w:val="both"/>
        <w:rPr>
          <w:lang w:val="es-ES_tradnl"/>
        </w:rPr>
      </w:pPr>
      <w:r>
        <w:rPr>
          <w:lang w:val="es-ES_tradnl"/>
        </w:rPr>
        <w:t xml:space="preserve">Con una inversión menor en </w:t>
      </w:r>
      <w:r>
        <w:rPr>
          <w:lang w:val="es-ES_tradnl"/>
        </w:rPr>
        <w:t>2</w:t>
      </w:r>
      <w:r>
        <w:rPr>
          <w:lang w:val="es-ES_tradnl"/>
        </w:rPr>
        <w:t xml:space="preserve">0% </w:t>
      </w:r>
      <w:r>
        <w:rPr>
          <w:lang w:val="es-ES_tradnl"/>
        </w:rPr>
        <w:t xml:space="preserve">siguen </w:t>
      </w:r>
      <w:r>
        <w:rPr>
          <w:lang w:val="es-ES_tradnl"/>
        </w:rPr>
        <w:t>aumentan</w:t>
      </w:r>
      <w:r>
        <w:rPr>
          <w:lang w:val="es-ES_tradnl"/>
        </w:rPr>
        <w:t>do</w:t>
      </w:r>
      <w:r>
        <w:rPr>
          <w:lang w:val="es-ES_tradnl"/>
        </w:rPr>
        <w:t xml:space="preserve"> los indicadores, pero disminuye </w:t>
      </w:r>
      <w:r>
        <w:rPr>
          <w:lang w:val="es-ES_tradnl"/>
        </w:rPr>
        <w:t xml:space="preserve">más </w:t>
      </w:r>
      <w:r>
        <w:rPr>
          <w:lang w:val="es-ES_tradnl"/>
        </w:rPr>
        <w:t>la calidad</w:t>
      </w:r>
      <w:r>
        <w:rPr>
          <w:lang w:val="es-ES_tradnl"/>
        </w:rPr>
        <w:t xml:space="preserve"> de la conectividad,</w:t>
      </w:r>
      <w:r>
        <w:rPr>
          <w:lang w:val="es-ES_tradnl"/>
        </w:rPr>
        <w:t xml:space="preserve"> dado que habría que reducir </w:t>
      </w:r>
      <w:r>
        <w:rPr>
          <w:lang w:val="es-ES_tradnl"/>
        </w:rPr>
        <w:t xml:space="preserve">no solo </w:t>
      </w:r>
      <w:r>
        <w:rPr>
          <w:lang w:val="es-ES_tradnl"/>
        </w:rPr>
        <w:t>la cantidad de puntos de acceso en los planteles preescolares</w:t>
      </w:r>
      <w:r>
        <w:rPr>
          <w:lang w:val="es-ES_tradnl"/>
        </w:rPr>
        <w:t>, sino también en las escuelas primarias, pero sin reducir los usuarios ya que estos planteles se les retiraría 1 de los 2 puntos de acceso.</w:t>
      </w:r>
    </w:p>
    <w:p w:rsidR="00BA76DA" w:rsidRDefault="00BA76DA">
      <w:pPr>
        <w:rPr>
          <w:lang w:val="es-ES_tradnl"/>
        </w:rPr>
      </w:pPr>
    </w:p>
    <w:p w:rsidR="00C74B75" w:rsidRDefault="00C74B75">
      <w:pPr>
        <w:rPr>
          <w:lang w:val="es-ES_tradnl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$    328,000,000.00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$      82,000,000.00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$    328,000,000.00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328,000,000.00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$ 222,763,200.00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222,763,200.00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214,195,384.62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33,936,000.00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431,498,820.00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398,944,914.94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33,936,000.00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431,498,820.00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383,600,879.75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33,936,000.00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431,498,820.00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368,846,999.76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3,200,000.00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462,234,820.00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379,923,328.25 </w:t>
            </w: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rPr>
          <w:jc w:val="right"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$ 1,317,120,738.08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989,120,738.08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rPr>
          <w:jc w:val="right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4.02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A76DA" w:rsidRDefault="00BA76DA">
      <w:pPr>
        <w:rPr>
          <w:lang w:val="es-ES_tradnl"/>
        </w:rPr>
      </w:pPr>
    </w:p>
    <w:p w:rsidR="00B91C46" w:rsidRDefault="00B91C46" w:rsidP="00B91C46">
      <w:pPr>
        <w:pStyle w:val="Ttulo3"/>
        <w:rPr>
          <w:lang w:val="es-ES_tradnl"/>
        </w:rPr>
      </w:pPr>
      <w:r>
        <w:rPr>
          <w:lang w:val="es-ES_tradnl"/>
        </w:rPr>
        <w:t>Inversión de -30%</w:t>
      </w:r>
    </w:p>
    <w:p w:rsidR="00C74B75" w:rsidRDefault="00C74B75" w:rsidP="00C74B75">
      <w:pPr>
        <w:jc w:val="both"/>
        <w:rPr>
          <w:lang w:val="es-ES_tradnl"/>
        </w:rPr>
      </w:pPr>
      <w:r>
        <w:rPr>
          <w:lang w:val="es-ES_tradnl"/>
        </w:rPr>
        <w:t xml:space="preserve">Con una inversión menor en </w:t>
      </w:r>
      <w:r>
        <w:rPr>
          <w:lang w:val="es-ES_tradnl"/>
        </w:rPr>
        <w:t>3</w:t>
      </w:r>
      <w:r>
        <w:rPr>
          <w:lang w:val="es-ES_tradnl"/>
        </w:rPr>
        <w:t xml:space="preserve">0% siguen aumentando los indicadores, pero disminuye </w:t>
      </w:r>
      <w:r>
        <w:rPr>
          <w:lang w:val="es-ES_tradnl"/>
        </w:rPr>
        <w:t xml:space="preserve">mucho </w:t>
      </w:r>
      <w:r>
        <w:rPr>
          <w:lang w:val="es-ES_tradnl"/>
        </w:rPr>
        <w:t xml:space="preserve">más la calidad de la conectividad, dado que habría que reducir no solo la cantidad de puntos de acceso en los planteles preescolares, sino también en las escuelas </w:t>
      </w:r>
      <w:r>
        <w:rPr>
          <w:lang w:val="es-ES_tradnl"/>
        </w:rPr>
        <w:t>primarias</w:t>
      </w:r>
      <w:r w:rsidR="00B91C46">
        <w:rPr>
          <w:lang w:val="es-ES_tradnl"/>
        </w:rPr>
        <w:t xml:space="preserve"> y secundarias</w:t>
      </w:r>
      <w:r>
        <w:rPr>
          <w:lang w:val="es-ES_tradnl"/>
        </w:rPr>
        <w:t>,</w:t>
      </w:r>
      <w:r>
        <w:rPr>
          <w:lang w:val="es-ES_tradnl"/>
        </w:rPr>
        <w:t xml:space="preserve"> pero sin reducir los usuarios ya que estos planteles se les retiraría 1 de los 2 puntos de acceso.</w:t>
      </w:r>
    </w:p>
    <w:p w:rsidR="00C74B75" w:rsidRDefault="00C74B75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$    287,000,000.00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$    123,000,000.00 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 xml:space="preserve"> $    287,000,000.00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287,000,000.00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$ 194,917,800.00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194,917,800.00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187,420,961.54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29,694,000.00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435,740,820.00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402,866,882.40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29,694,000.00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435,740,820.00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387,372,002.30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29,694,000.00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435,740,820.00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372,473,079.14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2,800,000.00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462,634,820.00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380,252,099.09 </w:t>
            </w:r>
          </w:p>
        </w:tc>
      </w:tr>
      <w:tr w:rsidR="00C74B75" w:rsidRPr="00C74B75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4B75" w:rsidRPr="00C74B75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74B75" w:rsidRPr="00C74B75" w:rsidRDefault="00C74B75" w:rsidP="00C74B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$ 1,355,543,101.39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$ 1,068,543,101.39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C74B75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4B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4.72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C74B75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74B75" w:rsidRDefault="00C74B75">
      <w:pPr>
        <w:rPr>
          <w:lang w:val="es-ES_tradnl"/>
        </w:rPr>
      </w:pPr>
    </w:p>
    <w:p w:rsidR="00B91C46" w:rsidRDefault="00B91C46" w:rsidP="00B91C46">
      <w:pPr>
        <w:pStyle w:val="Ttulo2"/>
        <w:rPr>
          <w:lang w:val="es-ES_tradnl"/>
        </w:rPr>
      </w:pPr>
      <w:r>
        <w:rPr>
          <w:lang w:val="es-ES_tradnl"/>
        </w:rPr>
        <w:t xml:space="preserve">Variable de </w:t>
      </w:r>
      <w:r w:rsidR="002C0D2D">
        <w:rPr>
          <w:lang w:val="es-ES_tradnl"/>
        </w:rPr>
        <w:t>mantenimiento</w:t>
      </w:r>
    </w:p>
    <w:p w:rsidR="00994CAE" w:rsidRPr="00994CAE" w:rsidRDefault="00994CAE" w:rsidP="00994CAE">
      <w:pPr>
        <w:pStyle w:val="Ttulo3"/>
        <w:rPr>
          <w:lang w:val="es-ES_tradnl"/>
        </w:rPr>
      </w:pPr>
      <w:r>
        <w:rPr>
          <w:lang w:val="es-ES_tradnl"/>
        </w:rPr>
        <w:t>Mantenimiento real</w:t>
      </w:r>
    </w:p>
    <w:p w:rsidR="00B91C46" w:rsidRDefault="002C0D2D" w:rsidP="00B91C46">
      <w:pPr>
        <w:rPr>
          <w:lang w:val="es-ES_tradnl"/>
        </w:rPr>
      </w:pPr>
      <w:r>
        <w:rPr>
          <w:lang w:val="es-ES_tradnl"/>
        </w:rPr>
        <w:t xml:space="preserve">Con los costos reales el mantenimiento </w:t>
      </w:r>
      <w:r w:rsidR="00994CAE">
        <w:rPr>
          <w:lang w:val="es-ES_tradnl"/>
        </w:rPr>
        <w:t xml:space="preserve">de toda la Infraestructura Digital Pública </w:t>
      </w:r>
      <w:r>
        <w:rPr>
          <w:lang w:val="es-ES_tradnl"/>
        </w:rPr>
        <w:t>es de 88 millones de pesos</w:t>
      </w:r>
      <w:r w:rsidR="00994CAE">
        <w:rPr>
          <w:lang w:val="es-ES_tradnl"/>
        </w:rPr>
        <w:t>.</w:t>
      </w:r>
    </w:p>
    <w:p w:rsidR="00B91C46" w:rsidRDefault="00B91C46" w:rsidP="00B91C46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410,000,000.00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0D2D" w:rsidRPr="00B91C46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410,000,000.00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267,744,230.77 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391,100,980.03 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376,058,634.64 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361,594,841.00 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461,434,820.00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379,265,786.56 </w:t>
            </w:r>
          </w:p>
        </w:tc>
      </w:tr>
      <w:tr w:rsidR="00B91C46" w:rsidRPr="00B91C46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1C46" w:rsidRPr="00B91C46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B91C46" w:rsidRPr="00B91C46" w:rsidRDefault="00B91C46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0D2D" w:rsidRPr="00B91C46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2C0D2D" w:rsidRPr="00B91C46" w:rsidRDefault="002C0D2D" w:rsidP="002C0D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$ 1,240,276,011.47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830,276,011.47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B91C46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91C4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3.03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B91C46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91C46" w:rsidRDefault="00B91C46" w:rsidP="00B91C46">
      <w:pPr>
        <w:rPr>
          <w:lang w:val="es-ES_tradnl"/>
        </w:rPr>
      </w:pPr>
    </w:p>
    <w:p w:rsidR="00994CAE" w:rsidRPr="00994CAE" w:rsidRDefault="00994CAE" w:rsidP="00994CAE">
      <w:pPr>
        <w:pStyle w:val="Ttulo3"/>
        <w:rPr>
          <w:lang w:val="es-ES_tradnl"/>
        </w:rPr>
      </w:pPr>
      <w:r>
        <w:rPr>
          <w:lang w:val="es-ES_tradnl"/>
        </w:rPr>
        <w:t>Mantenimiento real</w:t>
      </w:r>
    </w:p>
    <w:p w:rsidR="00994CAE" w:rsidRDefault="00994CAE" w:rsidP="00994CAE">
      <w:pPr>
        <w:rPr>
          <w:lang w:val="es-ES_tradnl"/>
        </w:rPr>
      </w:pPr>
      <w:r>
        <w:rPr>
          <w:lang w:val="es-ES_tradnl"/>
        </w:rPr>
        <w:t>Con los costos reales el mantenimiento de toda la Infraestructura Digital Pública es de 88 millones de pesos.</w:t>
      </w:r>
    </w:p>
    <w:p w:rsidR="00994CAE" w:rsidRDefault="00994CAE" w:rsidP="00B91C46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410,000,000.00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410,000,000.00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267,744,230.77 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391,100,980.03 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376,058,634.64 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361,594,841.00 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461,434,820.00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379,265,786.56 </w:t>
            </w:r>
          </w:p>
        </w:tc>
      </w:tr>
      <w:tr w:rsidR="00994CAE" w:rsidRPr="00994CAE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4CAE" w:rsidRPr="00994CAE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994CAE" w:rsidRPr="00994CAE" w:rsidRDefault="00994CAE" w:rsidP="00994CA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$ 1,240,276,011.47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830,276,011.47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994CAE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4CA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3.03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994CAE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94CAE" w:rsidRDefault="00994CAE" w:rsidP="00B91C46">
      <w:pPr>
        <w:rPr>
          <w:lang w:val="es-ES_tradnl"/>
        </w:rPr>
      </w:pPr>
    </w:p>
    <w:p w:rsidR="00994CAE" w:rsidRDefault="00994CAE" w:rsidP="00725894">
      <w:pPr>
        <w:pStyle w:val="Ttulo2"/>
        <w:rPr>
          <w:lang w:val="es-ES_tradnl"/>
        </w:rPr>
      </w:pPr>
      <w:r>
        <w:rPr>
          <w:lang w:val="es-ES_tradnl"/>
        </w:rPr>
        <w:t>Mantenimiento -10</w:t>
      </w:r>
    </w:p>
    <w:p w:rsidR="00994CAE" w:rsidRDefault="00994CAE" w:rsidP="001F0930">
      <w:pPr>
        <w:jc w:val="both"/>
        <w:rPr>
          <w:lang w:val="es-ES_tradnl"/>
        </w:rPr>
      </w:pPr>
      <w:r>
        <w:rPr>
          <w:lang w:val="es-ES_tradnl"/>
        </w:rPr>
        <w:t xml:space="preserve">Con el costo reducido en </w:t>
      </w:r>
      <w:r w:rsidR="00725894">
        <w:rPr>
          <w:lang w:val="es-ES_tradnl"/>
        </w:rPr>
        <w:t xml:space="preserve">8.8 millones de pesos de mantenimiento en vez de </w:t>
      </w:r>
      <w:r w:rsidR="001F0930">
        <w:rPr>
          <w:lang w:val="es-ES_tradnl"/>
        </w:rPr>
        <w:t>tener un sistema de respuesta inmediata, pasaremos a una lista de espera y tendremos la pérdida de un 2% de usuarios.</w:t>
      </w:r>
    </w:p>
    <w:p w:rsidR="001F0930" w:rsidRDefault="001F0930" w:rsidP="00B91C46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401,200,000.00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-$    401,200,000.00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$ 276,254,000.00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-$    276,254,000.00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-$    265,628,846.15 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$456,126,123.60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40,220,000.00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415,906,123.60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384,528,590.61 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456,126,123.60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40,220,000.00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415,906,123.60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369,739,029.43 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456,126,123.60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40,220,000.00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415,906,123.60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355,518,297.53 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456,126,123.60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452,126,123.60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371,614,716.66 </w:t>
            </w:r>
          </w:p>
        </w:tc>
      </w:tr>
      <w:tr w:rsidR="00725894" w:rsidRPr="00725894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5894" w:rsidRPr="00725894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725894" w:rsidRPr="00725894" w:rsidRDefault="00725894" w:rsidP="0072589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$ 1,215,771,788.07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$    814,571,788.07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>36%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25894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589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3.03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25894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94CAE" w:rsidRDefault="00994CAE" w:rsidP="00B91C46">
      <w:pPr>
        <w:rPr>
          <w:lang w:val="es-ES_tradnl"/>
        </w:rPr>
      </w:pPr>
    </w:p>
    <w:p w:rsidR="001F0930" w:rsidRDefault="001F0930" w:rsidP="001F0930">
      <w:pPr>
        <w:pStyle w:val="Ttulo2"/>
        <w:rPr>
          <w:lang w:val="es-ES_tradnl"/>
        </w:rPr>
      </w:pPr>
      <w:r>
        <w:rPr>
          <w:lang w:val="es-ES_tradnl"/>
        </w:rPr>
        <w:t>Mantenimiento -</w:t>
      </w:r>
      <w:r>
        <w:rPr>
          <w:lang w:val="es-ES_tradnl"/>
        </w:rPr>
        <w:t>2</w:t>
      </w:r>
      <w:r>
        <w:rPr>
          <w:lang w:val="es-ES_tradnl"/>
        </w:rPr>
        <w:t>0</w:t>
      </w:r>
      <w:r>
        <w:rPr>
          <w:lang w:val="es-ES_tradnl"/>
        </w:rPr>
        <w:t>%</w:t>
      </w:r>
    </w:p>
    <w:p w:rsidR="001F0930" w:rsidRDefault="001F0930" w:rsidP="001F0930">
      <w:pPr>
        <w:jc w:val="both"/>
        <w:rPr>
          <w:lang w:val="es-ES_tradnl"/>
        </w:rPr>
      </w:pPr>
      <w:r>
        <w:rPr>
          <w:lang w:val="es-ES_tradnl"/>
        </w:rPr>
        <w:t xml:space="preserve">Con el costo reducido en </w:t>
      </w:r>
      <w:r>
        <w:rPr>
          <w:lang w:val="es-ES_tradnl"/>
        </w:rPr>
        <w:t>17.6</w:t>
      </w:r>
      <w:r>
        <w:rPr>
          <w:lang w:val="es-ES_tradnl"/>
        </w:rPr>
        <w:t xml:space="preserve"> millones de pesos de mantenimiento en vez de tener un sistema de respuesta inmediata, pasaremos a una lista de espera y </w:t>
      </w:r>
      <w:r>
        <w:rPr>
          <w:lang w:val="es-ES_tradnl"/>
        </w:rPr>
        <w:t xml:space="preserve">pago por evento, </w:t>
      </w:r>
      <w:r>
        <w:rPr>
          <w:lang w:val="es-ES_tradnl"/>
        </w:rPr>
        <w:t xml:space="preserve">tendremos la pérdida de un </w:t>
      </w:r>
      <w:r>
        <w:rPr>
          <w:lang w:val="es-ES_tradnl"/>
        </w:rPr>
        <w:t>5</w:t>
      </w:r>
      <w:r>
        <w:rPr>
          <w:lang w:val="es-ES_tradnl"/>
        </w:rPr>
        <w:t>% de usuarios.</w:t>
      </w:r>
    </w:p>
    <w:p w:rsidR="001F0930" w:rsidRDefault="001F0930" w:rsidP="001F0930">
      <w:pPr>
        <w:jc w:val="both"/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392,400,000.00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-$    392,400,000.00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$ 274,054,000.00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-$    274,054,000.00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-$    263,513,461.54 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442,163,079.00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38,020,000.00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404,143,079.00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373,652,994.64 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442,163,079.00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38,020,000.00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404,143,079.00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359,281,725.61 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442,163,079.00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38,020,000.00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404,143,079.00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345,463,197.70 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442,163,079.00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438,163,079.00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360,138,111.81 </w:t>
            </w:r>
          </w:p>
        </w:tc>
      </w:tr>
      <w:tr w:rsidR="001F0930" w:rsidRPr="001F0930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0930" w:rsidRPr="001F0930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F0930" w:rsidRPr="001F0930" w:rsidRDefault="001F0930" w:rsidP="001F09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$ 1,175,022,568.23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$    782,622,568.23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>36%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1F0930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F093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2.99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1F0930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F0930" w:rsidRDefault="001F0930" w:rsidP="001F0930">
      <w:pPr>
        <w:jc w:val="right"/>
        <w:rPr>
          <w:lang w:val="es-ES_tradnl"/>
        </w:rPr>
      </w:pPr>
    </w:p>
    <w:p w:rsidR="007E203D" w:rsidRDefault="007E203D" w:rsidP="007E203D">
      <w:pPr>
        <w:pStyle w:val="Ttulo2"/>
        <w:rPr>
          <w:lang w:val="es-ES_tradnl"/>
        </w:rPr>
      </w:pPr>
      <w:r>
        <w:rPr>
          <w:lang w:val="es-ES_tradnl"/>
        </w:rPr>
        <w:t>Mantenimiento -</w:t>
      </w:r>
      <w:r>
        <w:rPr>
          <w:lang w:val="es-ES_tradnl"/>
        </w:rPr>
        <w:t>3</w:t>
      </w:r>
      <w:r>
        <w:rPr>
          <w:lang w:val="es-ES_tradnl"/>
        </w:rPr>
        <w:t>0%</w:t>
      </w:r>
    </w:p>
    <w:p w:rsidR="007E203D" w:rsidRDefault="007E203D" w:rsidP="007E203D">
      <w:pPr>
        <w:jc w:val="both"/>
        <w:rPr>
          <w:lang w:val="es-ES_tradnl"/>
        </w:rPr>
      </w:pPr>
      <w:r>
        <w:rPr>
          <w:lang w:val="es-ES_tradnl"/>
        </w:rPr>
        <w:t xml:space="preserve">Con el costo reducido en </w:t>
      </w:r>
      <w:r>
        <w:rPr>
          <w:lang w:val="es-ES_tradnl"/>
        </w:rPr>
        <w:t>26</w:t>
      </w:r>
      <w:r>
        <w:rPr>
          <w:lang w:val="es-ES_tradnl"/>
        </w:rPr>
        <w:t>.</w:t>
      </w:r>
      <w:r>
        <w:rPr>
          <w:lang w:val="es-ES_tradnl"/>
        </w:rPr>
        <w:t>4</w:t>
      </w:r>
      <w:r>
        <w:rPr>
          <w:lang w:val="es-ES_tradnl"/>
        </w:rPr>
        <w:t xml:space="preserve"> millones de pesos de mantenimiento en vez de tener un sistema de respuesta inmediata, pasaremos a </w:t>
      </w:r>
      <w:r>
        <w:rPr>
          <w:lang w:val="es-ES_tradnl"/>
        </w:rPr>
        <w:t xml:space="preserve">un </w:t>
      </w:r>
      <w:r>
        <w:rPr>
          <w:lang w:val="es-ES_tradnl"/>
        </w:rPr>
        <w:t>pago por evento</w:t>
      </w:r>
      <w:r>
        <w:rPr>
          <w:lang w:val="es-ES_tradnl"/>
        </w:rPr>
        <w:t xml:space="preserve"> y</w:t>
      </w:r>
      <w:r>
        <w:rPr>
          <w:lang w:val="es-ES_tradnl"/>
        </w:rPr>
        <w:t xml:space="preserve"> tendremos la pérdida de un </w:t>
      </w:r>
      <w:r>
        <w:rPr>
          <w:lang w:val="es-ES_tradnl"/>
        </w:rPr>
        <w:t>10</w:t>
      </w:r>
      <w:r>
        <w:rPr>
          <w:lang w:val="es-ES_tradnl"/>
        </w:rPr>
        <w:t>% de usuarios.</w:t>
      </w:r>
    </w:p>
    <w:p w:rsidR="001F0930" w:rsidRDefault="001F0930" w:rsidP="00B91C46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383,600,000.00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Peri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-$    383,600,000.00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$ 271,854,000.00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-$    271,854,000.00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-$    261,398,076.92 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418,891,338.00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35,820,000.00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383,071,338.00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354,170,985.58 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418,891,338.00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35,820,000.00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383,071,338.00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340,549,024.59 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418,891,338.00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35,820,000.00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383,071,338.00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327,450,985.19 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418,891,338.00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414,891,338.00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341,010,437.06 </w:t>
            </w: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$ 1,101,783,355.49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$    718,183,355.49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>34%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203D" w:rsidRPr="007E203D" w:rsidTr="007E203D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BA76DA" w:rsidRDefault="007E203D" w:rsidP="007E203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E203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2.87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7E203D" w:rsidRPr="007E203D" w:rsidRDefault="007E203D" w:rsidP="007E203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E203D" w:rsidRDefault="007E203D" w:rsidP="007E203D">
      <w:pPr>
        <w:jc w:val="right"/>
        <w:rPr>
          <w:lang w:val="es-ES_tradnl"/>
        </w:rPr>
      </w:pPr>
    </w:p>
    <w:p w:rsidR="007E203D" w:rsidRDefault="007E203D" w:rsidP="007E203D">
      <w:pPr>
        <w:pStyle w:val="Ttulo2"/>
        <w:rPr>
          <w:lang w:val="es-ES_tradnl"/>
        </w:rPr>
      </w:pPr>
      <w:r>
        <w:rPr>
          <w:lang w:val="es-ES_tradnl"/>
        </w:rPr>
        <w:t xml:space="preserve">Variable de </w:t>
      </w:r>
      <w:r w:rsidR="00C102A9">
        <w:rPr>
          <w:lang w:val="es-ES_tradnl"/>
        </w:rPr>
        <w:t>demanda</w:t>
      </w:r>
    </w:p>
    <w:p w:rsidR="007E203D" w:rsidRPr="00994CAE" w:rsidRDefault="00C102A9" w:rsidP="007E203D">
      <w:pPr>
        <w:pStyle w:val="Ttulo3"/>
        <w:rPr>
          <w:lang w:val="es-ES_tradnl"/>
        </w:rPr>
      </w:pPr>
      <w:r>
        <w:rPr>
          <w:lang w:val="es-ES_tradnl"/>
        </w:rPr>
        <w:t>Demanda</w:t>
      </w:r>
      <w:r w:rsidR="007E203D">
        <w:rPr>
          <w:lang w:val="es-ES_tradnl"/>
        </w:rPr>
        <w:t xml:space="preserve"> </w:t>
      </w:r>
      <w:r>
        <w:rPr>
          <w:lang w:val="es-ES_tradnl"/>
        </w:rPr>
        <w:t>actual</w:t>
      </w:r>
    </w:p>
    <w:p w:rsidR="007E203D" w:rsidRDefault="007E203D" w:rsidP="007E203D">
      <w:pPr>
        <w:rPr>
          <w:lang w:val="es-ES_tradnl"/>
        </w:rPr>
      </w:pPr>
      <w:r>
        <w:rPr>
          <w:lang w:val="es-ES_tradnl"/>
        </w:rPr>
        <w:t xml:space="preserve">Con los </w:t>
      </w:r>
      <w:r w:rsidR="00C102A9">
        <w:rPr>
          <w:lang w:val="es-ES_tradnl"/>
        </w:rPr>
        <w:t>usuarios proyectados, para el aprovechamiento</w:t>
      </w:r>
      <w:r>
        <w:rPr>
          <w:lang w:val="es-ES_tradnl"/>
        </w:rPr>
        <w:t xml:space="preserve"> de toda la Infraestructura Digital Pública.</w:t>
      </w:r>
    </w:p>
    <w:p w:rsidR="00C102A9" w:rsidRDefault="00C102A9" w:rsidP="007E203D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410,000,000.00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presente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410,000,000.00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278,454,000.00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-$    267,744,230.77 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391,100,980.03 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376,058,634.64 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42,420,000.00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423,014,820.00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361,594,841.00 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465,434,820.00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 4,000,000.00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461,434,820.00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379,265,786.56 </w:t>
            </w:r>
          </w:p>
        </w:tc>
      </w:tr>
      <w:tr w:rsidR="00C102A9" w:rsidRPr="00C102A9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02A9" w:rsidRPr="00C102A9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C102A9" w:rsidRPr="00C102A9" w:rsidRDefault="00C102A9" w:rsidP="00C102A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$ 1,240,276,011.47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$    830,276,011.47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C102A9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02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3.03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C102A9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87AB3" w:rsidRDefault="00C87AB3" w:rsidP="00C87AB3">
      <w:pPr>
        <w:rPr>
          <w:lang w:val="es-ES_tradnl"/>
        </w:rPr>
      </w:pPr>
    </w:p>
    <w:p w:rsidR="00C87AB3" w:rsidRPr="00994CAE" w:rsidRDefault="00C87AB3" w:rsidP="00C87AB3">
      <w:pPr>
        <w:pStyle w:val="Ttulo3"/>
        <w:rPr>
          <w:lang w:val="es-ES_tradnl"/>
        </w:rPr>
      </w:pPr>
      <w:r>
        <w:rPr>
          <w:lang w:val="es-ES_tradnl"/>
        </w:rPr>
        <w:t xml:space="preserve">Demanda </w:t>
      </w:r>
      <w:r w:rsidR="001E1ED5">
        <w:rPr>
          <w:lang w:val="es-ES_tradnl"/>
        </w:rPr>
        <w:t>ampliada</w:t>
      </w:r>
      <w:r>
        <w:rPr>
          <w:lang w:val="es-ES_tradnl"/>
        </w:rPr>
        <w:t xml:space="preserve"> en 10%</w:t>
      </w:r>
    </w:p>
    <w:p w:rsidR="00C87AB3" w:rsidRDefault="00C87AB3" w:rsidP="00C87AB3">
      <w:pPr>
        <w:rPr>
          <w:lang w:val="es-ES_tradnl"/>
        </w:rPr>
      </w:pPr>
      <w:r>
        <w:rPr>
          <w:lang w:val="es-ES_tradnl"/>
        </w:rPr>
        <w:t xml:space="preserve">Con </w:t>
      </w:r>
      <w:r>
        <w:rPr>
          <w:lang w:val="es-ES_tradnl"/>
        </w:rPr>
        <w:t>un aumento del 10% de demanda en el ámbito rural</w:t>
      </w:r>
      <w:r w:rsidR="00985541">
        <w:rPr>
          <w:lang w:val="es-ES_tradnl"/>
        </w:rPr>
        <w:t>, porque las zonas urbanas están cubiertas con más del 98%, tendríamos que hacer una inversión mayor</w:t>
      </w:r>
      <w:r w:rsidR="00D07B90">
        <w:rPr>
          <w:lang w:val="es-ES_tradnl"/>
        </w:rPr>
        <w:t xml:space="preserve"> en </w:t>
      </w:r>
      <w:r w:rsidR="001D419F">
        <w:rPr>
          <w:lang w:val="es-ES_tradnl"/>
        </w:rPr>
        <w:t>$</w:t>
      </w:r>
      <w:r w:rsidR="00D07B90">
        <w:rPr>
          <w:lang w:val="es-ES_tradnl"/>
        </w:rPr>
        <w:t>10</w:t>
      </w:r>
      <w:r w:rsidR="001D419F">
        <w:rPr>
          <w:lang w:val="es-ES_tradnl"/>
        </w:rPr>
        <w:t>,268,000.</w:t>
      </w:r>
      <w:r w:rsidR="001E1ED5">
        <w:rPr>
          <w:lang w:val="es-ES_tradnl"/>
        </w:rPr>
        <w:t>00.</w:t>
      </w:r>
    </w:p>
    <w:p w:rsidR="00C87AB3" w:rsidRDefault="00C87AB3" w:rsidP="00C87AB3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420,268,000.00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-$    420,268,000.00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$ 283,496,000.00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-$    283,496,000.00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-$    272,592,307.69 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524,377,320.00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44,162,000.00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480,215,320.00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443,986,057.69 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524,377,320.00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44,162,000.00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480,215,320.00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426,909,670.86 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524,377,320.00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44,162,000.00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480,215,320.00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410,490,068.13 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524,377,320.00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 4,400,000.00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519,977,320.00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   427,383,454.21 </w:t>
            </w:r>
          </w:p>
        </w:tc>
      </w:tr>
      <w:tr w:rsidR="001D419F" w:rsidRPr="001D419F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19F" w:rsidRPr="001D419F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D419F" w:rsidRPr="001D419F" w:rsidRDefault="001D419F" w:rsidP="001D41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$ 1,436,176,943.20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$ 1,015,908,943.20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>42%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D419F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19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3.42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D419F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87AB3" w:rsidRDefault="00C87AB3" w:rsidP="00C87AB3">
      <w:pPr>
        <w:rPr>
          <w:lang w:val="es-ES_tradnl"/>
        </w:rPr>
      </w:pPr>
    </w:p>
    <w:p w:rsidR="001E1ED5" w:rsidRPr="00994CAE" w:rsidRDefault="001E1ED5" w:rsidP="001E1ED5">
      <w:pPr>
        <w:pStyle w:val="Ttulo3"/>
        <w:rPr>
          <w:lang w:val="es-ES_tradnl"/>
        </w:rPr>
      </w:pPr>
      <w:r>
        <w:rPr>
          <w:lang w:val="es-ES_tradnl"/>
        </w:rPr>
        <w:t xml:space="preserve">Demanda ampliada en </w:t>
      </w:r>
      <w:r>
        <w:rPr>
          <w:lang w:val="es-ES_tradnl"/>
        </w:rPr>
        <w:t>2</w:t>
      </w:r>
      <w:r>
        <w:rPr>
          <w:lang w:val="es-ES_tradnl"/>
        </w:rPr>
        <w:t>0%</w:t>
      </w:r>
    </w:p>
    <w:p w:rsidR="001E1ED5" w:rsidRDefault="001E1ED5" w:rsidP="001E1ED5">
      <w:pPr>
        <w:rPr>
          <w:lang w:val="es-ES_tradnl"/>
        </w:rPr>
      </w:pPr>
      <w:r>
        <w:rPr>
          <w:lang w:val="es-ES_tradnl"/>
        </w:rPr>
        <w:t xml:space="preserve">Con un aumento del </w:t>
      </w:r>
      <w:r>
        <w:rPr>
          <w:lang w:val="es-ES_tradnl"/>
        </w:rPr>
        <w:t>2</w:t>
      </w:r>
      <w:r>
        <w:rPr>
          <w:lang w:val="es-ES_tradnl"/>
        </w:rPr>
        <w:t>0% de demanda en el ámbito rural, tendríamos que hacer una inversión mayor en $</w:t>
      </w:r>
      <w:r>
        <w:rPr>
          <w:lang w:val="es-ES_tradnl"/>
        </w:rPr>
        <w:t>20</w:t>
      </w:r>
      <w:r>
        <w:rPr>
          <w:lang w:val="es-ES_tradnl"/>
        </w:rPr>
        <w:t>,</w:t>
      </w:r>
      <w:r>
        <w:rPr>
          <w:lang w:val="es-ES_tradnl"/>
        </w:rPr>
        <w:t>528</w:t>
      </w:r>
      <w:r>
        <w:rPr>
          <w:lang w:val="es-ES_tradnl"/>
        </w:rPr>
        <w:t>,000.00</w:t>
      </w:r>
      <w:r>
        <w:rPr>
          <w:lang w:val="es-ES_tradnl"/>
        </w:rPr>
        <w:t>.</w:t>
      </w:r>
    </w:p>
    <w:p w:rsidR="001E1ED5" w:rsidRDefault="001E1ED5" w:rsidP="00C87AB3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430,536,000.00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-$    430,536,000.00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$ 288,538,000.00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-$    288,538,000.00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-$    277,440,384.62 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583,296,120.00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45,904,000.00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537,392,120.00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496,849,223.37 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583,296,120.00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45,904,000.00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537,392,120.00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477,739,637.86 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583,296,120.00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45,904,000.00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537,392,120.00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459,365,036.40 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583,296,120.00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 4,400,000.00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578,896,120.00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   475,810,413.03 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$ 1,632,323,926.04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$ 1,201,787,926.04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46%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3.79 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E1ED5" w:rsidRDefault="001E1ED5" w:rsidP="00C87AB3">
      <w:pPr>
        <w:rPr>
          <w:lang w:val="es-ES_tradnl"/>
        </w:rPr>
      </w:pPr>
    </w:p>
    <w:p w:rsidR="001E1ED5" w:rsidRPr="00994CAE" w:rsidRDefault="001E1ED5" w:rsidP="001E1ED5">
      <w:pPr>
        <w:pStyle w:val="Ttulo3"/>
        <w:rPr>
          <w:lang w:val="es-ES_tradnl"/>
        </w:rPr>
      </w:pPr>
      <w:r>
        <w:rPr>
          <w:lang w:val="es-ES_tradnl"/>
        </w:rPr>
        <w:t xml:space="preserve">Demanda ampliada en </w:t>
      </w:r>
      <w:r>
        <w:rPr>
          <w:lang w:val="es-ES_tradnl"/>
        </w:rPr>
        <w:t>3</w:t>
      </w:r>
      <w:r>
        <w:rPr>
          <w:lang w:val="es-ES_tradnl"/>
        </w:rPr>
        <w:t>0%</w:t>
      </w:r>
    </w:p>
    <w:p w:rsidR="001E1ED5" w:rsidRDefault="001E1ED5" w:rsidP="001E1ED5">
      <w:pPr>
        <w:rPr>
          <w:lang w:val="es-ES_tradnl"/>
        </w:rPr>
      </w:pPr>
      <w:r>
        <w:rPr>
          <w:lang w:val="es-ES_tradnl"/>
        </w:rPr>
        <w:t xml:space="preserve">Con un aumento del </w:t>
      </w:r>
      <w:r>
        <w:rPr>
          <w:lang w:val="es-ES_tradnl"/>
        </w:rPr>
        <w:t>3</w:t>
      </w:r>
      <w:r>
        <w:rPr>
          <w:lang w:val="es-ES_tradnl"/>
        </w:rPr>
        <w:t>0% de demanda en el ámbito rural, tendríamos que hacer una inversión mayor en $</w:t>
      </w:r>
      <w:r>
        <w:rPr>
          <w:lang w:val="es-ES_tradnl"/>
        </w:rPr>
        <w:t>3</w:t>
      </w:r>
      <w:r>
        <w:rPr>
          <w:lang w:val="es-ES_tradnl"/>
        </w:rPr>
        <w:t>0,</w:t>
      </w:r>
      <w:r>
        <w:rPr>
          <w:lang w:val="es-ES_tradnl"/>
        </w:rPr>
        <w:t>796</w:t>
      </w:r>
      <w:r>
        <w:rPr>
          <w:lang w:val="es-ES_tradnl"/>
        </w:rPr>
        <w:t>,000.00.</w:t>
      </w:r>
    </w:p>
    <w:p w:rsidR="001E1ED5" w:rsidRDefault="001E1ED5" w:rsidP="00C87AB3">
      <w:pPr>
        <w:rPr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651"/>
        <w:gridCol w:w="1498"/>
        <w:gridCol w:w="1651"/>
        <w:gridCol w:w="1651"/>
      </w:tblGrid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Costo Proyecto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440,804,000.00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Porcentaje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Periódo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Ingreso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Egreso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Flujos de efec. Neto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Valor presente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-$    440,804,000.00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$ 293,580,000.00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-$    293,580,000.00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-$    282,288,461.54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642,214,920.00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47,646,000.00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594,568,920.00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549,712,389.05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642,214,920.00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47,646,000.00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594,568,920.00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528,569,604.86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642,214,920.00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47,646,000.00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594,568,920.00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508,240,004.67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642,214,920.00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 4,400,000.00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637,814,920.00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   524,237,371.84</w:t>
            </w: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resente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$ 1,828,470,908.89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resente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$ 1,387,666,908.89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nterna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etorno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50%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1ED5" w:rsidRPr="001E1ED5" w:rsidTr="001E1ED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BA76DA" w:rsidRDefault="001E1ED5" w:rsidP="001E1ED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Tasa de Rentabilidad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  <w:r w:rsidRPr="00BA76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mediata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1ED5">
              <w:rPr>
                <w:rFonts w:asciiTheme="minorHAnsi" w:hAnsiTheme="minorHAnsi" w:cstheme="minorHAnsi"/>
                <w:sz w:val="18"/>
                <w:szCs w:val="18"/>
              </w:rPr>
              <w:t>4.15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1E1ED5" w:rsidRPr="001E1ED5" w:rsidRDefault="001E1ED5" w:rsidP="001E1E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E1ED5" w:rsidRPr="00B91C46" w:rsidRDefault="001E1ED5" w:rsidP="00C87AB3">
      <w:pPr>
        <w:rPr>
          <w:lang w:val="es-ES_tradnl"/>
        </w:rPr>
      </w:pPr>
    </w:p>
    <w:sectPr w:rsidR="001E1ED5" w:rsidRPr="00B91C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A7"/>
    <w:rsid w:val="001D419F"/>
    <w:rsid w:val="001E1ED5"/>
    <w:rsid w:val="001F0930"/>
    <w:rsid w:val="002C0D2D"/>
    <w:rsid w:val="00374B41"/>
    <w:rsid w:val="0053475D"/>
    <w:rsid w:val="0056511A"/>
    <w:rsid w:val="00725894"/>
    <w:rsid w:val="00791FA7"/>
    <w:rsid w:val="007E203D"/>
    <w:rsid w:val="00985541"/>
    <w:rsid w:val="00994CAE"/>
    <w:rsid w:val="00B91C46"/>
    <w:rsid w:val="00BA76DA"/>
    <w:rsid w:val="00BC5F63"/>
    <w:rsid w:val="00C102A9"/>
    <w:rsid w:val="00C74B75"/>
    <w:rsid w:val="00C87AB3"/>
    <w:rsid w:val="00D07B90"/>
    <w:rsid w:val="00F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5589"/>
  <w15:chartTrackingRefBased/>
  <w15:docId w15:val="{653539C8-F340-8E46-8E90-87D4502D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D5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1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1C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1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91C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1C4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91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91C4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B91C46"/>
    <w:rPr>
      <w:rFonts w:asciiTheme="majorHAnsi" w:eastAsiaTheme="majorEastAsia" w:hAnsiTheme="majorHAnsi" w:cstheme="majorBidi"/>
      <w:color w:val="1F3763" w:themeColor="accent1" w:themeShade="7F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2102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2023-07-12T19:19:00Z</dcterms:created>
  <dcterms:modified xsi:type="dcterms:W3CDTF">2023-07-13T19:47:00Z</dcterms:modified>
</cp:coreProperties>
</file>